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FD6E1">
      <w:pPr>
        <w:rPr>
          <w:rFonts w:ascii="黑体" w:hAnsi="黑体" w:eastAsia="黑体" w:cs="黑体"/>
          <w:sz w:val="32"/>
          <w:szCs w:val="32"/>
        </w:rPr>
      </w:pPr>
      <w:r>
        <w:rPr>
          <w:rFonts w:hint="eastAsia" w:ascii="黑体" w:hAnsi="黑体" w:eastAsia="黑体" w:cs="黑体"/>
          <w:sz w:val="32"/>
          <w:szCs w:val="32"/>
        </w:rPr>
        <w:t>附件4</w:t>
      </w:r>
    </w:p>
    <w:p w14:paraId="4F4EFA98">
      <w:pPr>
        <w:jc w:val="center"/>
        <w:rPr>
          <w:rFonts w:ascii="Times New Roman" w:hAnsi="Times New Roman" w:eastAsia="方正小标宋_GBK"/>
          <w:sz w:val="52"/>
          <w:szCs w:val="52"/>
        </w:rPr>
      </w:pPr>
    </w:p>
    <w:p w14:paraId="0780A8E6">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2022年度岳阳市农业综合行政执法支队</w:t>
      </w:r>
    </w:p>
    <w:p w14:paraId="7CA335D5">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14:paraId="4CF32F67">
      <w:pPr>
        <w:jc w:val="center"/>
        <w:rPr>
          <w:rFonts w:ascii="Times New Roman" w:hAnsi="Times New Roman" w:eastAsia="方正小标宋_GBK"/>
          <w:b/>
          <w:sz w:val="52"/>
          <w:szCs w:val="52"/>
        </w:rPr>
      </w:pPr>
    </w:p>
    <w:p w14:paraId="72245425">
      <w:pPr>
        <w:jc w:val="center"/>
        <w:rPr>
          <w:rFonts w:ascii="Times New Roman" w:hAnsi="Times New Roman" w:eastAsia="楷体_GB2312"/>
          <w:b/>
          <w:sz w:val="32"/>
          <w:szCs w:val="32"/>
        </w:rPr>
      </w:pPr>
    </w:p>
    <w:p w14:paraId="22590E35">
      <w:pPr>
        <w:rPr>
          <w:rFonts w:ascii="Times New Roman" w:hAnsi="Times New Roman" w:eastAsia="楷体_GB2312"/>
          <w:b/>
          <w:sz w:val="32"/>
          <w:szCs w:val="32"/>
        </w:rPr>
      </w:pPr>
    </w:p>
    <w:p w14:paraId="001A602C">
      <w:pPr>
        <w:jc w:val="center"/>
        <w:rPr>
          <w:rFonts w:ascii="Times New Roman" w:hAnsi="Times New Roman" w:eastAsia="楷体_GB2312"/>
          <w:b/>
          <w:sz w:val="32"/>
          <w:szCs w:val="32"/>
        </w:rPr>
      </w:pPr>
    </w:p>
    <w:p w14:paraId="03CE10B4">
      <w:pPr>
        <w:jc w:val="center"/>
        <w:rPr>
          <w:rFonts w:ascii="Times New Roman" w:hAnsi="Times New Roman" w:eastAsia="楷体_GB2312"/>
          <w:b/>
          <w:sz w:val="32"/>
          <w:szCs w:val="32"/>
        </w:rPr>
      </w:pPr>
    </w:p>
    <w:p w14:paraId="2ED1EF93">
      <w:pPr>
        <w:jc w:val="center"/>
        <w:rPr>
          <w:rFonts w:ascii="Times New Roman" w:hAnsi="Times New Roman" w:eastAsia="黑体"/>
          <w:sz w:val="32"/>
          <w:szCs w:val="32"/>
        </w:rPr>
      </w:pPr>
    </w:p>
    <w:p w14:paraId="3E39188A">
      <w:pPr>
        <w:jc w:val="center"/>
        <w:rPr>
          <w:rFonts w:ascii="Times New Roman" w:hAnsi="Times New Roman" w:eastAsia="黑体"/>
          <w:sz w:val="32"/>
          <w:szCs w:val="32"/>
        </w:rPr>
      </w:pPr>
    </w:p>
    <w:p w14:paraId="7F1A39E3">
      <w:pPr>
        <w:jc w:val="center"/>
        <w:rPr>
          <w:rFonts w:ascii="Times New Roman" w:hAnsi="Times New Roman" w:eastAsia="黑体"/>
          <w:sz w:val="32"/>
          <w:szCs w:val="32"/>
        </w:rPr>
      </w:pPr>
    </w:p>
    <w:p w14:paraId="72584805">
      <w:pPr>
        <w:jc w:val="center"/>
        <w:rPr>
          <w:rFonts w:ascii="Times New Roman" w:hAnsi="Times New Roman" w:eastAsia="黑体"/>
          <w:sz w:val="32"/>
          <w:szCs w:val="32"/>
        </w:rPr>
      </w:pPr>
    </w:p>
    <w:p w14:paraId="3C620B56">
      <w:pPr>
        <w:jc w:val="center"/>
        <w:rPr>
          <w:rFonts w:ascii="Times New Roman" w:hAnsi="Times New Roman" w:eastAsia="黑体"/>
          <w:sz w:val="32"/>
          <w:szCs w:val="32"/>
        </w:rPr>
      </w:pPr>
    </w:p>
    <w:p w14:paraId="2C8110C2">
      <w:pPr>
        <w:jc w:val="center"/>
        <w:rPr>
          <w:rFonts w:ascii="Times New Roman" w:hAnsi="Times New Roman" w:eastAsia="黑体"/>
          <w:sz w:val="32"/>
          <w:szCs w:val="32"/>
        </w:rPr>
      </w:pPr>
    </w:p>
    <w:p w14:paraId="2757F9A5">
      <w:pPr>
        <w:jc w:val="center"/>
        <w:rPr>
          <w:rFonts w:ascii="Times New Roman" w:hAnsi="Times New Roman" w:eastAsia="黑体"/>
          <w:sz w:val="32"/>
          <w:szCs w:val="32"/>
        </w:rPr>
      </w:pPr>
    </w:p>
    <w:p w14:paraId="0DFA4FD7">
      <w:pPr>
        <w:jc w:val="center"/>
        <w:rPr>
          <w:rFonts w:ascii="Times New Roman" w:hAnsi="Times New Roman" w:eastAsia="黑体"/>
          <w:sz w:val="32"/>
          <w:szCs w:val="32"/>
        </w:rPr>
      </w:pPr>
    </w:p>
    <w:p w14:paraId="7E970370">
      <w:pPr>
        <w:jc w:val="center"/>
        <w:rPr>
          <w:rFonts w:ascii="Times New Roman" w:hAnsi="Times New Roman" w:eastAsia="黑体"/>
          <w:sz w:val="32"/>
          <w:szCs w:val="32"/>
        </w:rPr>
      </w:pPr>
    </w:p>
    <w:p w14:paraId="4B0D49E8">
      <w:pPr>
        <w:jc w:val="center"/>
        <w:rPr>
          <w:rFonts w:ascii="Times New Roman" w:hAnsi="Times New Roman" w:eastAsia="黑体"/>
          <w:sz w:val="32"/>
          <w:szCs w:val="32"/>
        </w:rPr>
      </w:pPr>
    </w:p>
    <w:p w14:paraId="34B6464C">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ascii="Times New Roman" w:hAnsi="Times New Roman" w:eastAsia="仿宋_GB2312"/>
          <w:sz w:val="32"/>
          <w:szCs w:val="32"/>
          <w:u w:val="single"/>
        </w:rPr>
        <w:t>（盖章）</w:t>
      </w:r>
    </w:p>
    <w:p w14:paraId="77D0DA3C">
      <w:pPr>
        <w:spacing w:line="600" w:lineRule="exact"/>
        <w:jc w:val="center"/>
        <w:rPr>
          <w:rFonts w:ascii="Times New Roman" w:hAnsi="Times New Roman" w:eastAsia="仿宋_GB2312"/>
          <w:sz w:val="32"/>
          <w:szCs w:val="32"/>
        </w:rPr>
      </w:pPr>
      <w:r>
        <w:rPr>
          <w:rFonts w:hint="eastAsia" w:ascii="Times New Roman" w:hAnsi="Times New Roman" w:eastAsia="楷体_GB2312"/>
          <w:sz w:val="32"/>
          <w:szCs w:val="32"/>
        </w:rPr>
        <w:t>2023</w:t>
      </w:r>
      <w:r>
        <w:rPr>
          <w:rFonts w:ascii="Times New Roman" w:hAnsi="Times New Roman" w:eastAsia="楷体_GB2312"/>
          <w:sz w:val="32"/>
          <w:szCs w:val="32"/>
        </w:rPr>
        <w:t>年</w:t>
      </w:r>
      <w:r>
        <w:rPr>
          <w:rFonts w:hint="eastAsia" w:ascii="Times New Roman" w:hAnsi="Times New Roman" w:eastAsia="楷体_GB2312"/>
          <w:sz w:val="32"/>
          <w:szCs w:val="32"/>
        </w:rPr>
        <w:t>7</w:t>
      </w:r>
      <w:r>
        <w:rPr>
          <w:rFonts w:ascii="Times New Roman" w:hAnsi="Times New Roman" w:eastAsia="楷体_GB2312"/>
          <w:sz w:val="32"/>
          <w:szCs w:val="32"/>
        </w:rPr>
        <w:t>月</w:t>
      </w:r>
      <w:r>
        <w:rPr>
          <w:rFonts w:hint="eastAsia" w:ascii="Times New Roman" w:hAnsi="Times New Roman" w:eastAsia="楷体_GB2312"/>
          <w:sz w:val="32"/>
          <w:szCs w:val="32"/>
        </w:rPr>
        <w:t>13</w:t>
      </w:r>
      <w:r>
        <w:rPr>
          <w:rFonts w:ascii="Times New Roman" w:hAnsi="Times New Roman" w:eastAsia="楷体_GB2312"/>
          <w:sz w:val="32"/>
          <w:szCs w:val="32"/>
        </w:rPr>
        <w:t>日</w:t>
      </w:r>
      <w:r>
        <w:rPr>
          <w:rFonts w:ascii="Times New Roman" w:hAnsi="Times New Roman" w:eastAsia="仿宋_GB2312"/>
          <w:sz w:val="32"/>
          <w:szCs w:val="32"/>
        </w:rPr>
        <w:br w:type="page"/>
      </w:r>
    </w:p>
    <w:p w14:paraId="24D49375">
      <w:pPr>
        <w:spacing w:line="600" w:lineRule="exact"/>
        <w:jc w:val="center"/>
        <w:rPr>
          <w:rFonts w:ascii="方正小标宋简体" w:hAnsi="方正小标宋简体" w:eastAsia="方正小标宋简体" w:cs="方正小标宋简体"/>
          <w:sz w:val="44"/>
          <w:szCs w:val="44"/>
        </w:rPr>
      </w:pPr>
    </w:p>
    <w:p w14:paraId="3661720B">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2022年度岳阳市农业综合行政执法支队</w:t>
      </w:r>
    </w:p>
    <w:p w14:paraId="0162E2DB">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14:paraId="06C66D8B">
      <w:pPr>
        <w:spacing w:line="640" w:lineRule="exact"/>
        <w:ind w:firstLine="640" w:firstLineChars="200"/>
        <w:rPr>
          <w:rFonts w:ascii="Times New Roman" w:hAnsi="Times New Roman" w:eastAsia="仿宋_GB2312"/>
          <w:sz w:val="32"/>
          <w:szCs w:val="32"/>
        </w:rPr>
      </w:pPr>
    </w:p>
    <w:p w14:paraId="484ACC4A">
      <w:pPr>
        <w:widowControl/>
        <w:spacing w:line="600" w:lineRule="exact"/>
        <w:ind w:firstLine="320" w:firstLineChars="100"/>
        <w:rPr>
          <w:rFonts w:eastAsia="仿宋_GB2312" w:cs="仿宋_GB2312"/>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14:paraId="588AC7EB">
      <w:pPr>
        <w:widowControl/>
        <w:spacing w:line="600" w:lineRule="exact"/>
        <w:ind w:firstLine="643" w:firstLineChars="200"/>
        <w:rPr>
          <w:rFonts w:eastAsia="仿宋_GB2312" w:cs="仿宋_GB2312"/>
          <w:b/>
          <w:sz w:val="32"/>
          <w:szCs w:val="32"/>
        </w:rPr>
      </w:pPr>
      <w:r>
        <w:rPr>
          <w:rFonts w:hint="eastAsia" w:eastAsia="仿宋_GB2312" w:cs="仿宋_GB2312"/>
          <w:b/>
          <w:sz w:val="32"/>
          <w:szCs w:val="32"/>
        </w:rPr>
        <w:t>（一）职能职责</w:t>
      </w:r>
    </w:p>
    <w:p w14:paraId="4D9B7A4F">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根据《中共岳阳市委机关编制委员会》关于印发&lt;岳阳市农业综合行政执法支队职能配置、内设机构和人员编制规定&gt;的通知（岳编发〔2020〕5号）</w:t>
      </w:r>
      <w:r>
        <w:rPr>
          <w:rFonts w:hint="eastAsia" w:ascii="仿宋_GB2312" w:hAnsi="仿宋_GB2312" w:eastAsia="仿宋_GB2312" w:cs="仿宋_GB2312"/>
          <w:color w:val="000000"/>
          <w:sz w:val="32"/>
          <w:szCs w:val="32"/>
          <w:shd w:val="clear" w:color="auto" w:fill="FFFFFF"/>
        </w:rPr>
        <w:t>我单位主要职责如下：</w:t>
      </w:r>
    </w:p>
    <w:p w14:paraId="3611B85A">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1、贯彻执行国家有关农业农村方面的法律、法规、规章和政策规定；代拟全市农业综合行政执法工作方面的规范性文件、总体规划和年度计划，并组织实施。</w:t>
      </w:r>
    </w:p>
    <w:p w14:paraId="5F3C9632">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2、依法行使法律、法规、规章赋予的农业行政处罚权以及与行政处罚相关的行政检查、行政强制权等行政执法职能，具体承担岳阳经济技术开发区、城陵矶新港区、南湖新区范围内农业综合行政执法工作。</w:t>
      </w:r>
    </w:p>
    <w:p w14:paraId="1C9A3399">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3、负责全市农业重大复杂违法案件和跨县(市、区）违法案件的查处；组织或配合农业联合执法行动；依法查处上级交办、相关部门移交、下级移送及群众投诉举报的违法案件。</w:t>
      </w:r>
    </w:p>
    <w:p w14:paraId="55B35C1F">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4、负责对县（市、区）农业综合行政执法工作进行指导、协调、监督和考核。</w:t>
      </w:r>
    </w:p>
    <w:p w14:paraId="50D418CC">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5、负责农业行政执法和刑事司法工作衔接，移送涉嫌犯罪案件。</w:t>
      </w:r>
    </w:p>
    <w:p w14:paraId="37766395">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6、指导全市农业投入品市场诚信体系建设工作；负责组织全市农业综合行政执法方面法律法规宣传和培训工作。</w:t>
      </w:r>
    </w:p>
    <w:p w14:paraId="548A992B">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7、承担上级交办的其他工作。</w:t>
      </w:r>
    </w:p>
    <w:p w14:paraId="01033F94">
      <w:pPr>
        <w:widowControl/>
        <w:spacing w:line="600" w:lineRule="exact"/>
        <w:ind w:firstLine="643" w:firstLineChars="200"/>
        <w:rPr>
          <w:rFonts w:eastAsia="仿宋_GB2312" w:cs="仿宋_GB2312"/>
          <w:b/>
          <w:sz w:val="32"/>
          <w:szCs w:val="32"/>
        </w:rPr>
      </w:pPr>
      <w:r>
        <w:rPr>
          <w:rFonts w:hint="eastAsia" w:eastAsia="仿宋_GB2312" w:cs="仿宋_GB2312"/>
          <w:b/>
          <w:sz w:val="32"/>
          <w:szCs w:val="32"/>
        </w:rPr>
        <w:t>（二）机构设置</w:t>
      </w:r>
    </w:p>
    <w:p w14:paraId="4553B62E">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共岳阳市委机关编制委员会》关于印发&lt;岳阳市农业综合行政执法支队职能配置、内设机构和人员编制规定&gt;的通知（岳编发〔2020〕5号），岳阳市农业综合行政执法支队，副处级，由岳阳市农业农村局管理。核定编制60名，其中支队长1名副支队长4名，正科级纪检员1名。内设科室3个分别是综合科、党委办、政策宣教科，规格为副科级；6个大队分别是法制大队、直属一大队、直属二大队、直属三大队、直属四大队、直属五大队，规格为正科级。</w:t>
      </w:r>
    </w:p>
    <w:p w14:paraId="0E8D8DC7">
      <w:pPr>
        <w:widowControl/>
        <w:spacing w:line="600" w:lineRule="exact"/>
        <w:ind w:firstLine="640" w:firstLineChars="200"/>
        <w:rPr>
          <w:rFonts w:eastAsia="仿宋_GB2312" w:cs="仿宋_GB2312"/>
          <w:sz w:val="32"/>
          <w:szCs w:val="32"/>
        </w:rPr>
      </w:pPr>
      <w:r>
        <w:rPr>
          <w:rFonts w:hint="eastAsia" w:ascii="仿宋_GB2312" w:eastAsia="仿宋_GB2312"/>
          <w:sz w:val="32"/>
          <w:szCs w:val="32"/>
        </w:rPr>
        <w:t>截至2022年12月31日，我单位</w:t>
      </w:r>
      <w:r>
        <w:rPr>
          <w:rFonts w:hint="eastAsia" w:ascii="仿宋_GB2312" w:hAnsi="仿宋_GB2312" w:eastAsia="仿宋_GB2312" w:cs="仿宋_GB2312"/>
          <w:sz w:val="32"/>
          <w:szCs w:val="32"/>
        </w:rPr>
        <w:t>实有人员73人，其中</w:t>
      </w:r>
      <w:r>
        <w:rPr>
          <w:rFonts w:hint="eastAsia" w:ascii="仿宋_GB2312" w:eastAsia="仿宋_GB2312"/>
          <w:sz w:val="32"/>
          <w:szCs w:val="32"/>
        </w:rPr>
        <w:t>在编人员40人，</w:t>
      </w:r>
      <w:r>
        <w:rPr>
          <w:rFonts w:hint="eastAsia" w:ascii="仿宋_GB2312" w:hAnsi="仿宋_GB2312" w:eastAsia="仿宋_GB2312" w:cs="仿宋_GB2312"/>
          <w:sz w:val="32"/>
          <w:szCs w:val="32"/>
        </w:rPr>
        <w:t>离休人员1人、</w:t>
      </w:r>
      <w:r>
        <w:rPr>
          <w:rFonts w:hint="eastAsia" w:ascii="仿宋_GB2312" w:eastAsia="仿宋_GB2312"/>
          <w:sz w:val="32"/>
          <w:szCs w:val="32"/>
        </w:rPr>
        <w:t>退休人员32人。</w:t>
      </w:r>
    </w:p>
    <w:p w14:paraId="4DF0C018">
      <w:pPr>
        <w:pStyle w:val="8"/>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294B0A3D">
      <w:pPr>
        <w:pStyle w:val="8"/>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043463CB">
      <w:pPr>
        <w:widowControl/>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2022年基本支出901.1万元。其中：工资福利支出713.99万元，商品和服务支出38.87万元，对个人和家庭的补助支出148.22万元。</w:t>
      </w:r>
    </w:p>
    <w:p w14:paraId="4BC186F7">
      <w:pPr>
        <w:pStyle w:val="8"/>
        <w:widowControl/>
        <w:numPr>
          <w:ilvl w:val="0"/>
          <w:numId w:val="1"/>
        </w:numPr>
        <w:spacing w:line="640" w:lineRule="exact"/>
        <w:ind w:firstLine="643"/>
        <w:rPr>
          <w:rFonts w:ascii="仿宋_GB2312" w:hAnsi="仿宋_GB2312" w:eastAsia="仿宋_GB2312" w:cs="仿宋_GB2312"/>
          <w:sz w:val="32"/>
          <w:szCs w:val="32"/>
        </w:rPr>
      </w:pPr>
      <w:r>
        <w:rPr>
          <w:rFonts w:ascii="Times New Roman" w:hAnsi="Times New Roman" w:eastAsia="楷体_GB2312"/>
          <w:b/>
          <w:sz w:val="32"/>
          <w:szCs w:val="32"/>
        </w:rPr>
        <w:t>项目支出情况</w:t>
      </w:r>
    </w:p>
    <w:p w14:paraId="6D344546">
      <w:pPr>
        <w:pStyle w:val="8"/>
        <w:widowControl/>
        <w:spacing w:line="64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2022年全年项目支出1143.82万元。其中业务工作经费916.82万元，市级农业综合执法及禁捕退捕专项支出182万元。</w:t>
      </w:r>
    </w:p>
    <w:p w14:paraId="2D0191B1">
      <w:pPr>
        <w:pStyle w:val="8"/>
        <w:widowControl/>
        <w:numPr>
          <w:ilvl w:val="0"/>
          <w:numId w:val="2"/>
        </w:numPr>
        <w:spacing w:line="64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r>
        <w:rPr>
          <w:rFonts w:hint="eastAsia" w:ascii="Times New Roman" w:hAnsi="Times New Roman" w:eastAsia="黑体"/>
          <w:sz w:val="32"/>
          <w:szCs w:val="32"/>
        </w:rPr>
        <w:t xml:space="preserve"> </w:t>
      </w:r>
    </w:p>
    <w:p w14:paraId="340DA126">
      <w:pPr>
        <w:pStyle w:val="8"/>
        <w:widowControl/>
        <w:spacing w:line="6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77CA960">
      <w:pPr>
        <w:pStyle w:val="8"/>
        <w:widowControl/>
        <w:numPr>
          <w:ilvl w:val="0"/>
          <w:numId w:val="2"/>
        </w:numPr>
        <w:spacing w:line="64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r>
        <w:rPr>
          <w:rFonts w:hint="eastAsia" w:ascii="Times New Roman" w:hAnsi="Times New Roman" w:eastAsia="黑体"/>
          <w:sz w:val="32"/>
          <w:szCs w:val="32"/>
        </w:rPr>
        <w:t xml:space="preserve"> </w:t>
      </w:r>
    </w:p>
    <w:p w14:paraId="7F59B779">
      <w:pPr>
        <w:pStyle w:val="8"/>
        <w:widowControl/>
        <w:spacing w:line="6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10133D42">
      <w:pPr>
        <w:pStyle w:val="8"/>
        <w:widowControl/>
        <w:numPr>
          <w:ilvl w:val="0"/>
          <w:numId w:val="2"/>
        </w:numPr>
        <w:spacing w:line="64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4FEABCB7">
      <w:pPr>
        <w:pStyle w:val="8"/>
        <w:widowControl/>
        <w:spacing w:line="640" w:lineRule="exact"/>
        <w:ind w:left="560" w:leftChars="200" w:firstLine="640"/>
        <w:rPr>
          <w:rFonts w:ascii="仿宋_GB2312" w:hAnsi="仿宋_GB2312" w:eastAsia="仿宋_GB2312" w:cs="仿宋_GB2312"/>
          <w:sz w:val="32"/>
          <w:szCs w:val="32"/>
        </w:rPr>
      </w:pPr>
      <w:r>
        <w:rPr>
          <w:rFonts w:hint="eastAsia" w:ascii="Times New Roman" w:hAnsi="Times New Roman" w:eastAsia="黑体"/>
          <w:sz w:val="32"/>
          <w:szCs w:val="32"/>
        </w:rPr>
        <w:t xml:space="preserve"> </w:t>
      </w:r>
      <w:r>
        <w:rPr>
          <w:rFonts w:hint="eastAsia" w:ascii="仿宋_GB2312" w:hAnsi="仿宋_GB2312" w:eastAsia="仿宋_GB2312" w:cs="仿宋_GB2312"/>
          <w:sz w:val="32"/>
          <w:szCs w:val="32"/>
        </w:rPr>
        <w:t>无</w:t>
      </w:r>
    </w:p>
    <w:p w14:paraId="0EDBF27E">
      <w:pPr>
        <w:widowControl/>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六、部门整体支出绩效情况</w:t>
      </w:r>
    </w:p>
    <w:p w14:paraId="03411200">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我单位根据中央、省、市和市农业农村局局党组下达的重点任务目标，年度工作计划等要求，认真履行职责，严格执法，较好完成了年初确定的各项工作任务。根据《部门整体支出绩效自评表》自评分98.8分，部门整体支出绩效为“优”</w:t>
      </w:r>
      <w:r>
        <w:rPr>
          <w:rFonts w:ascii="仿宋_GB2312" w:hAnsi="仿宋_GB2312" w:eastAsia="仿宋_GB2312" w:cs="仿宋_GB2312"/>
          <w:sz w:val="32"/>
          <w:szCs w:val="32"/>
        </w:rPr>
        <w:t>。</w:t>
      </w:r>
    </w:p>
    <w:p w14:paraId="77FBE96E">
      <w:pPr>
        <w:widowControl/>
        <w:spacing w:line="640" w:lineRule="exact"/>
        <w:ind w:firstLine="643" w:firstLineChars="200"/>
        <w:rPr>
          <w:rFonts w:ascii="仿宋_GB2312" w:hAnsi="仿宋_GB2312" w:eastAsia="仿宋_GB2312" w:cs="仿宋_GB2312"/>
          <w:sz w:val="32"/>
          <w:szCs w:val="32"/>
        </w:rPr>
      </w:pPr>
      <w:r>
        <w:rPr>
          <w:rFonts w:hint="eastAsia" w:ascii="楷体_GB2312" w:hAnsi="仿宋_GB2312" w:eastAsia="楷体_GB2312" w:cs="仿宋_GB2312"/>
          <w:b/>
          <w:sz w:val="32"/>
          <w:szCs w:val="32"/>
        </w:rPr>
        <w:t>（一）严格预算支出管理。</w:t>
      </w:r>
      <w:r>
        <w:rPr>
          <w:rFonts w:ascii="仿宋_GB2312" w:hAnsi="仿宋_GB2312" w:eastAsia="仿宋_GB2312" w:cs="仿宋_GB2312"/>
          <w:sz w:val="32"/>
          <w:szCs w:val="32"/>
        </w:rPr>
        <w:t>在支出预算编制上，根据“总量控制、计划管理”的要求从严控制</w:t>
      </w:r>
      <w:r>
        <w:rPr>
          <w:rFonts w:hint="eastAsia" w:ascii="仿宋_GB2312" w:hAnsi="仿宋_GB2312" w:eastAsia="仿宋_GB2312" w:cs="仿宋_GB2312"/>
          <w:sz w:val="32"/>
          <w:szCs w:val="32"/>
        </w:rPr>
        <w:t>工作</w:t>
      </w:r>
      <w:r>
        <w:rPr>
          <w:rFonts w:ascii="仿宋_GB2312" w:hAnsi="仿宋_GB2312" w:eastAsia="仿宋_GB2312" w:cs="仿宋_GB2312"/>
          <w:sz w:val="32"/>
          <w:szCs w:val="32"/>
        </w:rPr>
        <w:t>经费</w:t>
      </w:r>
      <w:r>
        <w:rPr>
          <w:rFonts w:hint="eastAsia" w:ascii="仿宋_GB2312" w:hAnsi="仿宋_GB2312" w:eastAsia="仿宋_GB2312" w:cs="仿宋_GB2312"/>
          <w:sz w:val="32"/>
          <w:szCs w:val="32"/>
        </w:rPr>
        <w:t>一般性支出</w:t>
      </w:r>
      <w:r>
        <w:rPr>
          <w:rFonts w:ascii="仿宋_GB2312" w:hAnsi="仿宋_GB2312" w:eastAsia="仿宋_GB2312" w:cs="仿宋_GB2312"/>
          <w:sz w:val="32"/>
          <w:szCs w:val="32"/>
        </w:rPr>
        <w:t>，压缩公务费开支，严格控制“三公”经费，严格</w:t>
      </w:r>
      <w:r>
        <w:rPr>
          <w:rFonts w:hint="eastAsia" w:ascii="仿宋_GB2312" w:hAnsi="仿宋_GB2312" w:eastAsia="仿宋_GB2312" w:cs="仿宋_GB2312"/>
          <w:sz w:val="32"/>
          <w:szCs w:val="32"/>
        </w:rPr>
        <w:t>按</w:t>
      </w:r>
      <w:r>
        <w:rPr>
          <w:rFonts w:ascii="仿宋_GB2312" w:hAnsi="仿宋_GB2312" w:eastAsia="仿宋_GB2312" w:cs="仿宋_GB2312"/>
          <w:sz w:val="32"/>
          <w:szCs w:val="32"/>
        </w:rPr>
        <w:t>资产配置</w:t>
      </w:r>
      <w:r>
        <w:rPr>
          <w:rFonts w:hint="eastAsia" w:ascii="仿宋_GB2312" w:hAnsi="仿宋_GB2312" w:eastAsia="仿宋_GB2312" w:cs="仿宋_GB2312"/>
          <w:sz w:val="32"/>
          <w:szCs w:val="32"/>
        </w:rPr>
        <w:t>标准和审批开展</w:t>
      </w:r>
      <w:r>
        <w:rPr>
          <w:rFonts w:ascii="仿宋_GB2312" w:hAnsi="仿宋_GB2312" w:eastAsia="仿宋_GB2312" w:cs="仿宋_GB2312"/>
          <w:sz w:val="32"/>
          <w:szCs w:val="32"/>
        </w:rPr>
        <w:t>政府采购，按照预算科目和</w:t>
      </w:r>
      <w:r>
        <w:rPr>
          <w:rFonts w:hint="eastAsia" w:ascii="仿宋_GB2312" w:hAnsi="仿宋_GB2312" w:eastAsia="仿宋_GB2312" w:cs="仿宋_GB2312"/>
          <w:sz w:val="32"/>
          <w:szCs w:val="32"/>
        </w:rPr>
        <w:t>专项</w:t>
      </w:r>
      <w:r>
        <w:rPr>
          <w:rFonts w:ascii="仿宋_GB2312" w:hAnsi="仿宋_GB2312" w:eastAsia="仿宋_GB2312" w:cs="仿宋_GB2312"/>
          <w:sz w:val="32"/>
          <w:szCs w:val="32"/>
        </w:rPr>
        <w:t>项目资金</w:t>
      </w:r>
      <w:r>
        <w:rPr>
          <w:rFonts w:hint="eastAsia" w:ascii="仿宋_GB2312" w:hAnsi="仿宋_GB2312" w:eastAsia="仿宋_GB2312" w:cs="仿宋_GB2312"/>
          <w:sz w:val="32"/>
          <w:szCs w:val="32"/>
        </w:rPr>
        <w:t>有关</w:t>
      </w:r>
      <w:r>
        <w:rPr>
          <w:rFonts w:ascii="仿宋_GB2312" w:hAnsi="仿宋_GB2312" w:eastAsia="仿宋_GB2312" w:cs="仿宋_GB2312"/>
          <w:sz w:val="32"/>
          <w:szCs w:val="32"/>
        </w:rPr>
        <w:t>规定使用财政资金，保障部门整体支出的规范化、制度化。</w:t>
      </w:r>
    </w:p>
    <w:p w14:paraId="7A7BEAC6">
      <w:pPr>
        <w:widowControl/>
        <w:spacing w:line="640" w:lineRule="exact"/>
        <w:ind w:firstLine="643" w:firstLineChars="200"/>
        <w:rPr>
          <w:rFonts w:ascii="仿宋_GB2312" w:hAnsi="仿宋_GB2312" w:eastAsia="仿宋_GB2312" w:cs="仿宋_GB2312"/>
          <w:sz w:val="32"/>
          <w:szCs w:val="32"/>
        </w:rPr>
      </w:pPr>
      <w:r>
        <w:rPr>
          <w:rFonts w:hint="eastAsia" w:ascii="楷体_GB2312" w:hAnsi="仿宋_GB2312" w:eastAsia="楷体_GB2312" w:cs="仿宋_GB2312"/>
          <w:b/>
          <w:sz w:val="32"/>
          <w:szCs w:val="32"/>
        </w:rPr>
        <w:t>（二）加强财务管理。</w:t>
      </w:r>
      <w:r>
        <w:rPr>
          <w:rFonts w:ascii="仿宋_GB2312" w:hAnsi="仿宋_GB2312" w:eastAsia="仿宋_GB2312" w:cs="仿宋_GB2312"/>
          <w:sz w:val="32"/>
          <w:szCs w:val="32"/>
        </w:rPr>
        <w:t>按照国家法律法规，制定了</w:t>
      </w:r>
      <w:r>
        <w:rPr>
          <w:rFonts w:hint="eastAsia" w:ascii="仿宋_GB2312" w:hAnsi="仿宋_GB2312" w:eastAsia="仿宋_GB2312" w:cs="仿宋_GB2312"/>
          <w:sz w:val="32"/>
          <w:szCs w:val="32"/>
        </w:rPr>
        <w:t>单位</w:t>
      </w:r>
      <w:r>
        <w:rPr>
          <w:rFonts w:ascii="仿宋_GB2312" w:hAnsi="仿宋_GB2312" w:eastAsia="仿宋_GB2312" w:cs="仿宋_GB2312"/>
          <w:sz w:val="32"/>
          <w:szCs w:val="32"/>
        </w:rPr>
        <w:t>财务、接待、</w:t>
      </w:r>
      <w:r>
        <w:rPr>
          <w:rFonts w:hint="eastAsia" w:ascii="仿宋_GB2312" w:hAnsi="仿宋_GB2312" w:eastAsia="仿宋_GB2312" w:cs="仿宋_GB2312"/>
          <w:sz w:val="32"/>
          <w:szCs w:val="32"/>
        </w:rPr>
        <w:t>执法船舶管理</w:t>
      </w:r>
      <w:r>
        <w:rPr>
          <w:rFonts w:ascii="仿宋_GB2312" w:hAnsi="仿宋_GB2312" w:eastAsia="仿宋_GB2312" w:cs="仿宋_GB2312"/>
          <w:sz w:val="32"/>
          <w:szCs w:val="32"/>
        </w:rPr>
        <w:t>、车辆使用等内部控制制度，并按照制度管理和执行，防范风险，保证财政资金安全和高效运行。</w:t>
      </w:r>
    </w:p>
    <w:p w14:paraId="2AEB7A67">
      <w:pPr>
        <w:widowControl/>
        <w:spacing w:line="640" w:lineRule="exact"/>
        <w:ind w:firstLine="643" w:firstLineChars="200"/>
        <w:rPr>
          <w:rFonts w:ascii="楷体_GB2312" w:hAnsi="仿宋_GB2312" w:eastAsia="楷体_GB2312" w:cs="仿宋_GB2312"/>
          <w:b/>
          <w:sz w:val="32"/>
          <w:szCs w:val="32"/>
        </w:rPr>
      </w:pPr>
      <w:r>
        <w:rPr>
          <w:rFonts w:hint="eastAsia" w:ascii="楷体_GB2312" w:hAnsi="仿宋_GB2312" w:eastAsia="楷体_GB2312" w:cs="仿宋_GB2312"/>
          <w:b/>
          <w:sz w:val="32"/>
          <w:szCs w:val="32"/>
        </w:rPr>
        <w:t>（三）全面完成“十年禁渔”等中心工作任务</w:t>
      </w:r>
    </w:p>
    <w:p w14:paraId="18AA3993">
      <w:pPr>
        <w:spacing w:line="600" w:lineRule="exact"/>
        <w:ind w:firstLine="643" w:firstLineChars="200"/>
        <w:rPr>
          <w:rFonts w:ascii="Times New Roman" w:hAnsi="Times New Roman" w:eastAsia="仿宋_GB2312"/>
          <w:sz w:val="32"/>
          <w:szCs w:val="32"/>
        </w:rPr>
      </w:pPr>
      <w:r>
        <w:rPr>
          <w:rFonts w:hint="eastAsia" w:ascii="楷体_GB2312" w:eastAsia="楷体_GB2312"/>
          <w:b/>
          <w:bCs/>
          <w:sz w:val="32"/>
          <w:szCs w:val="32"/>
        </w:rPr>
        <w:t>1、</w:t>
      </w:r>
      <w:r>
        <w:rPr>
          <w:rFonts w:hint="eastAsia" w:ascii="楷体_GB2312" w:hAnsi="楷体" w:eastAsia="楷体_GB2312" w:cs="楷体"/>
          <w:b/>
          <w:bCs/>
          <w:sz w:val="32"/>
          <w:szCs w:val="32"/>
        </w:rPr>
        <w:t>扎实开展“十年禁渔”专项执法行动。</w:t>
      </w:r>
      <w:r>
        <w:rPr>
          <w:rFonts w:hint="eastAsia" w:ascii="Times New Roman" w:hAnsi="Times New Roman" w:eastAsia="仿宋_GB2312"/>
          <w:sz w:val="32"/>
          <w:szCs w:val="32"/>
        </w:rPr>
        <w:t>支队组织各县市区渔政执法队伍，联合公安部门开展了禁捕执法“百日攻坚战”、“冬春攻势”、“夏季攻势</w:t>
      </w:r>
      <w:r>
        <w:rPr>
          <w:rFonts w:ascii="Times New Roman" w:hAnsi="Times New Roman" w:eastAsia="仿宋_GB2312"/>
          <w:sz w:val="32"/>
          <w:szCs w:val="32"/>
        </w:rPr>
        <w:t>”</w:t>
      </w:r>
      <w:r>
        <w:rPr>
          <w:rFonts w:hint="eastAsia" w:ascii="Times New Roman" w:hAnsi="Times New Roman" w:eastAsia="仿宋_GB2312"/>
          <w:sz w:val="32"/>
          <w:szCs w:val="32"/>
        </w:rPr>
        <w:t>等专项行动，针对“三无”船舶违法停泊、航行、载客、载物、涉渔等现象，联合公安、交通海事部门集中整治禁捕水域“三无”船舶及水上浮动设施违法行为专项行动。共出动执法人员6097人次，执法车459辆次，执法船艇627艘次，陆上巡查84873公里，水上巡查45426海里，收缴清理违规钓具352根、网具35张，查办违法违规案件72件、79人，司法移送13件、22人。2022年11月16日起，在全市范围内组织开展枯水期“十年禁渔”集中整治专项行动，全天候监管重点水域非法捕捞和违规垂钓行为，加强督查督办和巡查力度，坚持水陆共进，保持打击非法捕捞高压态势。</w:t>
      </w:r>
    </w:p>
    <w:p w14:paraId="5C5BF16A">
      <w:pPr>
        <w:spacing w:line="560" w:lineRule="exact"/>
        <w:ind w:firstLine="643" w:firstLineChars="200"/>
        <w:rPr>
          <w:rFonts w:ascii="仿宋_GB2312" w:eastAsia="仿宋_GB2312" w:cs="仿宋"/>
          <w:sz w:val="32"/>
          <w:szCs w:val="32"/>
          <w:highlight w:val="yellow"/>
        </w:rPr>
      </w:pPr>
      <w:r>
        <w:rPr>
          <w:rFonts w:hint="eastAsia" w:ascii="楷体_GB2312" w:eastAsia="楷体_GB2312"/>
          <w:b/>
          <w:bCs/>
          <w:sz w:val="32"/>
          <w:szCs w:val="32"/>
        </w:rPr>
        <w:t>2、深入开展农资打假专项行动</w:t>
      </w:r>
      <w:r>
        <w:rPr>
          <w:rFonts w:hint="eastAsia" w:ascii="楷体_GB2312" w:eastAsia="楷体_GB2312"/>
          <w:sz w:val="32"/>
          <w:szCs w:val="32"/>
        </w:rPr>
        <w:t>。</w:t>
      </w:r>
      <w:r>
        <w:rPr>
          <w:rFonts w:hint="eastAsia" w:ascii="仿宋_GB2312" w:hAnsi="仿宋_GB2312" w:eastAsia="仿宋_GB2312" w:cs="仿宋_GB2312"/>
          <w:sz w:val="32"/>
          <w:szCs w:val="32"/>
        </w:rPr>
        <w:t>农资打假直接关系到粮食安全。制定了《中心城区农资打假“春雷”行动专项执法检查活动方案》，对</w:t>
      </w:r>
      <w:r>
        <w:rPr>
          <w:rFonts w:hint="eastAsia" w:ascii="仿宋_GB2312" w:eastAsia="仿宋_GB2312"/>
          <w:sz w:val="32"/>
          <w:szCs w:val="32"/>
        </w:rPr>
        <w:t>全市农资市场全面开展巡查、检查执法活动90余次，共出动执法人员460余人次，执法车辆90台次，</w:t>
      </w:r>
      <w:r>
        <w:rPr>
          <w:rFonts w:hint="eastAsia" w:ascii="仿宋_GB2312" w:hAnsi="仿宋_GB2312" w:eastAsia="仿宋_GB2312" w:cs="仿宋_GB2312"/>
          <w:sz w:val="32"/>
          <w:szCs w:val="32"/>
        </w:rPr>
        <w:t>抽查农业投入品1200余种次，合格率98％以上</w:t>
      </w:r>
      <w:r>
        <w:rPr>
          <w:rFonts w:hint="eastAsia" w:ascii="仿宋_GB2312" w:eastAsia="仿宋_GB2312"/>
          <w:sz w:val="32"/>
          <w:szCs w:val="32"/>
        </w:rPr>
        <w:t>、检查企业、经营门店共400余家，</w:t>
      </w:r>
      <w:r>
        <w:rPr>
          <w:rFonts w:hint="eastAsia" w:ascii="仿宋_GB2312" w:hAnsi="仿宋_GB2312" w:eastAsia="仿宋_GB2312" w:cs="仿宋_GB2312"/>
          <w:sz w:val="32"/>
          <w:szCs w:val="32"/>
        </w:rPr>
        <w:t>立案9起、交办3起，涉案货值97.244万元、罚没金额22.218万元；受理投诉举报3起、调解投诉举报3起，有效震慑了制假售假违法行为。</w:t>
      </w:r>
    </w:p>
    <w:p w14:paraId="075ABA07">
      <w:pPr>
        <w:ind w:firstLine="482" w:firstLineChars="150"/>
        <w:rPr>
          <w:rFonts w:ascii="仿宋_GB2312" w:eastAsia="仿宋_GB2312"/>
          <w:sz w:val="32"/>
          <w:szCs w:val="32"/>
        </w:rPr>
      </w:pPr>
      <w:r>
        <w:rPr>
          <w:rFonts w:hint="eastAsia" w:ascii="楷体_GB2312" w:hAnsi="楷体" w:eastAsia="楷体_GB2312" w:cs="楷体"/>
          <w:b/>
          <w:bCs/>
          <w:sz w:val="32"/>
          <w:szCs w:val="32"/>
        </w:rPr>
        <w:t xml:space="preserve"> 3、开展农产品质量安全执法。</w:t>
      </w:r>
      <w:r>
        <w:rPr>
          <w:rFonts w:hint="eastAsia" w:ascii="仿宋_GB2312" w:eastAsia="仿宋_GB2312"/>
          <w:sz w:val="32"/>
          <w:szCs w:val="32"/>
        </w:rPr>
        <w:t>组织开展全市农产品质量安全专项监督检查，共出动执法人员140余人次，检查农产品生产主体近210家，抽取农产品样品300余个，发放、张贴种养殖用药宣传单2000余份。同时，使用农产品质量安全快检试剂针对部分农产品进行了快速检测，对检查中发现的部分无农产品生产记录的生产主体，及时开具责令整改通知书，督促其按时整改到位。</w:t>
      </w:r>
    </w:p>
    <w:p w14:paraId="5D014DF8">
      <w:pPr>
        <w:pStyle w:val="5"/>
        <w:spacing w:line="600" w:lineRule="exact"/>
        <w:ind w:firstLine="643" w:firstLineChars="200"/>
        <w:rPr>
          <w:rFonts w:ascii="仿宋_GB2312" w:hAnsi="仿宋_GB2312" w:eastAsia="仿宋_GB2312" w:cs="仿宋_GB2312"/>
          <w:sz w:val="32"/>
          <w:szCs w:val="32"/>
        </w:rPr>
      </w:pPr>
      <w:r>
        <w:rPr>
          <w:rFonts w:hint="eastAsia" w:ascii="楷体_GB2312" w:eastAsia="楷体_GB2312"/>
          <w:b/>
          <w:bCs/>
          <w:sz w:val="32"/>
          <w:szCs w:val="32"/>
        </w:rPr>
        <w:t>4、开展非洲猪瘟和打击私屠滥宰专项整治等执法行动。</w:t>
      </w:r>
      <w:r>
        <w:rPr>
          <w:rFonts w:hint="eastAsia" w:ascii="仿宋_GB2312" w:hAnsi="仿宋_GB2312" w:eastAsia="仿宋_GB2312" w:cs="仿宋_GB2312"/>
          <w:sz w:val="32"/>
          <w:szCs w:val="32"/>
        </w:rPr>
        <w:t>严防非洲猪瘟专项整治，对城区动物诊疗场所、饲料生产企业、规模养殖场和非洲猪瘟防控临时检查站开展专项执法检查，检查动物诊疗场所7个、饲料生产企业55家、规模养殖场7家、非洲猪瘟防控临时检查站12个，立案查处</w:t>
      </w:r>
      <w:r>
        <w:rPr>
          <w:rFonts w:hint="eastAsia" w:ascii="仿宋_GB2312" w:hAnsi="仿宋_GB2312" w:eastAsia="仿宋_GB2312"/>
          <w:sz w:val="32"/>
          <w:szCs w:val="32"/>
        </w:rPr>
        <w:t>6起违法行为</w:t>
      </w:r>
      <w:r>
        <w:rPr>
          <w:rFonts w:hint="eastAsia" w:ascii="仿宋_GB2312" w:hAnsi="仿宋_GB2312" w:eastAsia="仿宋_GB2312" w:cs="仿宋_GB2312"/>
          <w:sz w:val="32"/>
          <w:szCs w:val="32"/>
        </w:rPr>
        <w:t>。联合多部门组织开展春节期间打击中心城区生猪屠宰和肉类经营环节违法行为联合执法行动，对部分经营户销售检疫出证与实际售卖地址不符肉类产品的违规行为当场责令其限期整改，取得了较好社会效应。</w:t>
      </w:r>
    </w:p>
    <w:p w14:paraId="14AE0424">
      <w:pPr>
        <w:tabs>
          <w:tab w:val="left" w:pos="512"/>
        </w:tabs>
        <w:ind w:firstLine="643" w:firstLineChars="200"/>
        <w:jc w:val="left"/>
        <w:rPr>
          <w:rFonts w:ascii="仿宋_GB2312" w:hAnsi="仿宋_GB2312" w:eastAsia="仿宋_GB2312" w:cs="仿宋_GB2312"/>
          <w:color w:val="000000"/>
          <w:sz w:val="32"/>
          <w:szCs w:val="32"/>
        </w:rPr>
      </w:pPr>
      <w:r>
        <w:rPr>
          <w:rFonts w:hint="eastAsia" w:ascii="楷体_GB2312" w:eastAsia="楷体_GB2312"/>
          <w:b/>
          <w:bCs/>
          <w:sz w:val="32"/>
          <w:szCs w:val="32"/>
        </w:rPr>
        <w:t>5、持续开展农机安全执法。</w:t>
      </w:r>
      <w:r>
        <w:rPr>
          <w:rFonts w:hint="eastAsia" w:ascii="仿宋_GB2312" w:eastAsia="仿宋_GB2312"/>
          <w:sz w:val="32"/>
          <w:szCs w:val="32"/>
        </w:rPr>
        <w:t>2022年，</w:t>
      </w:r>
      <w:r>
        <w:rPr>
          <w:rFonts w:hint="eastAsia" w:ascii="仿宋_GB2312" w:hAnsi="仿宋_GB2312" w:eastAsia="仿宋_GB2312" w:cs="仿宋_GB2312"/>
          <w:sz w:val="32"/>
          <w:szCs w:val="32"/>
        </w:rPr>
        <w:t>联合岳阳楼区农业综合执法大队，经开区农业综合执法大队配合市交警支队在中心城区开展一系列的专项整治行动，重点检查拖拉机假牌套牌，无牌无证，非法载人，达到报废年限仍上路驾驶的违法行为。</w:t>
      </w:r>
      <w:r>
        <w:rPr>
          <w:rFonts w:hint="eastAsia" w:ascii="仿宋_GB2312" w:hAnsi="仿宋_GB2312" w:eastAsia="仿宋_GB2312" w:cs="仿宋_GB2312"/>
          <w:color w:val="000000"/>
          <w:sz w:val="32"/>
          <w:szCs w:val="32"/>
        </w:rPr>
        <w:t>在经开区，君山区，湘阴县，屈原管理区，平江县等地开展农机安全执法，检查拖拉机42台次，立案查处无证驾驶3起、逾期未检4起。</w:t>
      </w:r>
      <w:r>
        <w:rPr>
          <w:rFonts w:hint="eastAsia" w:ascii="仿宋_GB2312" w:hAnsi="仿宋_GB2312" w:eastAsia="仿宋_GB2312" w:cs="仿宋_GB2312"/>
          <w:sz w:val="32"/>
          <w:szCs w:val="32"/>
        </w:rPr>
        <w:t>针对农忙季节，</w:t>
      </w:r>
      <w:r>
        <w:rPr>
          <w:rFonts w:hint="eastAsia" w:ascii="仿宋_GB2312" w:hAnsi="仿宋_GB2312" w:eastAsia="仿宋_GB2312" w:cs="仿宋_GB2312"/>
          <w:color w:val="000000"/>
          <w:sz w:val="32"/>
          <w:szCs w:val="32"/>
        </w:rPr>
        <w:t>重点检查农机专业合作社和农机报废企业安</w:t>
      </w:r>
      <w:r>
        <w:rPr>
          <w:rFonts w:hint="eastAsia" w:ascii="仿宋_GB2312" w:hAnsi="仿宋_GB2312" w:eastAsia="仿宋_GB2312" w:cs="仿宋_GB2312"/>
          <w:sz w:val="32"/>
          <w:szCs w:val="32"/>
        </w:rPr>
        <w:t>全生产情况，下达了多份责令整改通知书限期整改，并对有安全隐患的一家</w:t>
      </w:r>
      <w:r>
        <w:rPr>
          <w:rFonts w:hint="eastAsia" w:ascii="仿宋_GB2312" w:hAnsi="仿宋_GB2312" w:eastAsia="仿宋_GB2312" w:cs="仿宋_GB2312"/>
          <w:color w:val="000000"/>
          <w:sz w:val="32"/>
          <w:szCs w:val="32"/>
        </w:rPr>
        <w:t>农机报废企业进行了行政处罚。</w:t>
      </w:r>
    </w:p>
    <w:p w14:paraId="578E5041">
      <w:pPr>
        <w:pStyle w:val="8"/>
        <w:widowControl/>
        <w:spacing w:line="640" w:lineRule="exact"/>
        <w:ind w:firstLine="643"/>
        <w:rPr>
          <w:rFonts w:ascii="Times New Roman" w:hAnsi="Times New Roman" w:eastAsia="黑体"/>
          <w:sz w:val="32"/>
          <w:szCs w:val="32"/>
        </w:rPr>
      </w:pPr>
      <w:r>
        <w:rPr>
          <w:rFonts w:hint="eastAsia" w:ascii="楷体_GB2312" w:eastAsia="楷体_GB2312"/>
          <w:b/>
          <w:bCs/>
          <w:sz w:val="32"/>
          <w:szCs w:val="32"/>
        </w:rPr>
        <w:t>6、强化执法保障。</w:t>
      </w:r>
      <w:r>
        <w:rPr>
          <w:rFonts w:hint="eastAsia" w:ascii="仿宋_GB2312" w:hAnsi="仿宋_GB2312" w:eastAsia="仿宋_GB2312" w:cs="仿宋_GB2312"/>
          <w:bCs/>
          <w:sz w:val="32"/>
          <w:szCs w:val="28"/>
        </w:rPr>
        <w:t>为提升禁捕技防能力，支队督促各县市区加快智慧渔政建设进度，投入资金5700余万元，建设视频监控点255处、雷达18部。支队争取上级支持，投资近300万元在</w:t>
      </w:r>
      <w:r>
        <w:rPr>
          <w:rFonts w:hint="eastAsia" w:ascii="仿宋_GB2312" w:eastAsia="仿宋_GB2312"/>
          <w:sz w:val="32"/>
          <w:szCs w:val="32"/>
        </w:rPr>
        <w:t>洞庭湖水上联合执法基地指挥中心</w:t>
      </w:r>
      <w:r>
        <w:rPr>
          <w:rFonts w:hint="eastAsia" w:ascii="仿宋_GB2312" w:hAnsi="仿宋_GB2312" w:eastAsia="仿宋_GB2312" w:cs="仿宋_GB2312"/>
          <w:bCs/>
          <w:sz w:val="32"/>
          <w:szCs w:val="28"/>
        </w:rPr>
        <w:t>建成</w:t>
      </w:r>
      <w:r>
        <w:rPr>
          <w:rFonts w:hint="eastAsia" w:ascii="仿宋_GB2312" w:eastAsia="仿宋_GB2312"/>
          <w:sz w:val="32"/>
          <w:szCs w:val="32"/>
        </w:rPr>
        <w:t>了</w:t>
      </w:r>
      <w:r>
        <w:rPr>
          <w:rFonts w:hint="eastAsia" w:ascii="仿宋_GB2312" w:hAnsi="仿宋_GB2312" w:eastAsia="仿宋_GB2312" w:cs="仿宋_GB2312"/>
          <w:bCs/>
          <w:sz w:val="32"/>
          <w:szCs w:val="28"/>
        </w:rPr>
        <w:t>市级智慧渔政指挥平台，配备基础办公系统，实现重点水域预警、预报、禁捕管理智能化监管。</w:t>
      </w:r>
      <w:r>
        <w:rPr>
          <w:rFonts w:hint="eastAsia" w:ascii="仿宋_GB2312" w:eastAsia="仿宋_GB2312"/>
          <w:sz w:val="32"/>
          <w:szCs w:val="32"/>
        </w:rPr>
        <w:t>组织全市农业综合行政执法业务培训班共培训市县两级共近百名执法骨干，选送执法骨干3人参加全省农业法治培训班，通过培训全面提升了执法人员执法能力。</w:t>
      </w:r>
    </w:p>
    <w:p w14:paraId="570272CA">
      <w:pPr>
        <w:pStyle w:val="8"/>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0BEB8644">
      <w:pPr>
        <w:widowControl/>
        <w:spacing w:line="6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预算编制</w:t>
      </w:r>
      <w:r>
        <w:rPr>
          <w:rFonts w:hint="eastAsia" w:ascii="Times New Roman" w:hAnsi="Times New Roman" w:eastAsia="仿宋_GB2312"/>
          <w:sz w:val="32"/>
          <w:szCs w:val="32"/>
        </w:rPr>
        <w:t>准确度不高</w:t>
      </w:r>
      <w:r>
        <w:rPr>
          <w:rFonts w:ascii="Times New Roman" w:hAnsi="Times New Roman" w:eastAsia="仿宋_GB2312"/>
          <w:sz w:val="32"/>
          <w:szCs w:val="32"/>
        </w:rPr>
        <w:t>，预算编制</w:t>
      </w:r>
      <w:r>
        <w:rPr>
          <w:rFonts w:hint="eastAsia" w:ascii="Times New Roman" w:hAnsi="Times New Roman" w:eastAsia="仿宋_GB2312"/>
          <w:sz w:val="32"/>
          <w:szCs w:val="32"/>
        </w:rPr>
        <w:t>金额</w:t>
      </w:r>
      <w:r>
        <w:rPr>
          <w:rFonts w:ascii="Times New Roman" w:hAnsi="Times New Roman" w:eastAsia="仿宋_GB2312"/>
          <w:sz w:val="32"/>
          <w:szCs w:val="32"/>
        </w:rPr>
        <w:t>与实际支出项目</w:t>
      </w:r>
      <w:r>
        <w:rPr>
          <w:rFonts w:hint="eastAsia" w:ascii="Times New Roman" w:hAnsi="Times New Roman" w:eastAsia="仿宋_GB2312"/>
          <w:sz w:val="32"/>
          <w:szCs w:val="32"/>
        </w:rPr>
        <w:t>金额</w:t>
      </w:r>
      <w:r>
        <w:rPr>
          <w:rFonts w:ascii="Times New Roman" w:hAnsi="Times New Roman" w:eastAsia="仿宋_GB2312"/>
          <w:sz w:val="32"/>
          <w:szCs w:val="32"/>
        </w:rPr>
        <w:t>存在差异，专项支出</w:t>
      </w:r>
      <w:r>
        <w:rPr>
          <w:rFonts w:hint="eastAsia" w:ascii="Times New Roman" w:hAnsi="Times New Roman" w:eastAsia="仿宋_GB2312"/>
          <w:sz w:val="32"/>
          <w:szCs w:val="32"/>
        </w:rPr>
        <w:t>指标有互相调剂情况。政府采购预算编制不够精准。</w:t>
      </w:r>
    </w:p>
    <w:p w14:paraId="39430AA5">
      <w:pPr>
        <w:widowControl/>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八、下一步改进措施</w:t>
      </w:r>
    </w:p>
    <w:p w14:paraId="3D88C401">
      <w:pPr>
        <w:widowControl/>
        <w:spacing w:line="6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一是严格</w:t>
      </w:r>
      <w:r>
        <w:rPr>
          <w:rFonts w:ascii="Times New Roman" w:hAnsi="Times New Roman" w:eastAsia="仿宋_GB2312"/>
          <w:sz w:val="32"/>
          <w:szCs w:val="32"/>
        </w:rPr>
        <w:t>按照预算规定的项目和用途支出</w:t>
      </w:r>
      <w:r>
        <w:rPr>
          <w:rFonts w:hint="eastAsia" w:ascii="Times New Roman" w:hAnsi="Times New Roman" w:eastAsia="仿宋_GB2312"/>
          <w:sz w:val="32"/>
          <w:szCs w:val="32"/>
        </w:rPr>
        <w:t>项目</w:t>
      </w:r>
      <w:r>
        <w:rPr>
          <w:rFonts w:ascii="Times New Roman" w:hAnsi="Times New Roman" w:eastAsia="仿宋_GB2312"/>
          <w:sz w:val="32"/>
          <w:szCs w:val="32"/>
        </w:rPr>
        <w:t>经费</w:t>
      </w:r>
      <w:r>
        <w:rPr>
          <w:rFonts w:hint="eastAsia" w:ascii="Times New Roman" w:hAnsi="Times New Roman" w:eastAsia="仿宋_GB2312"/>
          <w:sz w:val="32"/>
          <w:szCs w:val="32"/>
        </w:rPr>
        <w:t>，减少指标调剂次数，强化预算专项资金下达指标经济分类测算</w:t>
      </w:r>
      <w:r>
        <w:rPr>
          <w:rFonts w:ascii="Times New Roman" w:hAnsi="Times New Roman" w:eastAsia="仿宋_GB2312"/>
          <w:sz w:val="32"/>
          <w:szCs w:val="32"/>
        </w:rPr>
        <w:t>。</w:t>
      </w:r>
      <w:r>
        <w:rPr>
          <w:rFonts w:hint="eastAsia" w:ascii="Times New Roman" w:hAnsi="Times New Roman" w:eastAsia="仿宋_GB2312"/>
          <w:sz w:val="32"/>
          <w:szCs w:val="32"/>
        </w:rPr>
        <w:t>二是</w:t>
      </w:r>
      <w:r>
        <w:rPr>
          <w:rFonts w:ascii="Times New Roman" w:hAnsi="Times New Roman" w:eastAsia="仿宋_GB2312"/>
          <w:sz w:val="32"/>
          <w:szCs w:val="32"/>
        </w:rPr>
        <w:t>进一步</w:t>
      </w:r>
      <w:r>
        <w:rPr>
          <w:rFonts w:hint="eastAsia" w:ascii="Times New Roman" w:hAnsi="Times New Roman" w:eastAsia="仿宋_GB2312"/>
          <w:sz w:val="32"/>
          <w:szCs w:val="32"/>
        </w:rPr>
        <w:t>强化</w:t>
      </w:r>
      <w:r>
        <w:rPr>
          <w:rFonts w:ascii="Times New Roman" w:hAnsi="Times New Roman" w:eastAsia="仿宋_GB2312"/>
          <w:sz w:val="32"/>
          <w:szCs w:val="32"/>
        </w:rPr>
        <w:t>“三公”经费管理</w:t>
      </w:r>
      <w:r>
        <w:rPr>
          <w:rFonts w:hint="eastAsia" w:ascii="Times New Roman" w:hAnsi="Times New Roman" w:eastAsia="仿宋_GB2312"/>
          <w:sz w:val="32"/>
          <w:szCs w:val="32"/>
        </w:rPr>
        <w:t>和总量控制</w:t>
      </w:r>
      <w:r>
        <w:rPr>
          <w:rFonts w:ascii="Times New Roman" w:hAnsi="Times New Roman" w:eastAsia="仿宋_GB2312"/>
          <w:sz w:val="32"/>
          <w:szCs w:val="32"/>
        </w:rPr>
        <w:t>，</w:t>
      </w:r>
      <w:r>
        <w:rPr>
          <w:rFonts w:hint="eastAsia" w:ascii="Times New Roman" w:hAnsi="Times New Roman" w:eastAsia="仿宋_GB2312"/>
          <w:sz w:val="32"/>
          <w:szCs w:val="32"/>
        </w:rPr>
        <w:t>做到</w:t>
      </w:r>
      <w:r>
        <w:rPr>
          <w:rFonts w:ascii="Times New Roman" w:hAnsi="Times New Roman" w:eastAsia="仿宋_GB2312"/>
          <w:sz w:val="32"/>
          <w:szCs w:val="32"/>
        </w:rPr>
        <w:t>“三公”经费</w:t>
      </w:r>
      <w:r>
        <w:rPr>
          <w:rFonts w:hint="eastAsia" w:ascii="Times New Roman" w:hAnsi="Times New Roman" w:eastAsia="仿宋_GB2312"/>
          <w:sz w:val="32"/>
          <w:szCs w:val="32"/>
        </w:rPr>
        <w:t>“只减不增”，</w:t>
      </w:r>
      <w:r>
        <w:rPr>
          <w:rFonts w:ascii="Times New Roman" w:hAnsi="Times New Roman" w:eastAsia="仿宋_GB2312"/>
          <w:sz w:val="32"/>
          <w:szCs w:val="32"/>
        </w:rPr>
        <w:t>杜绝挪用和挤占其他预算资金。三是</w:t>
      </w:r>
      <w:r>
        <w:rPr>
          <w:rFonts w:hint="eastAsia" w:ascii="Times New Roman" w:hAnsi="Times New Roman" w:eastAsia="仿宋_GB2312"/>
          <w:sz w:val="32"/>
          <w:szCs w:val="32"/>
        </w:rPr>
        <w:t>按要求高标准做好政府采购预算编制和财务分析，完成</w:t>
      </w:r>
      <w:r>
        <w:rPr>
          <w:rFonts w:ascii="Times New Roman" w:hAnsi="Times New Roman" w:eastAsia="仿宋_GB2312"/>
          <w:sz w:val="32"/>
          <w:szCs w:val="32"/>
        </w:rPr>
        <w:t>部门整体支出预算</w:t>
      </w:r>
      <w:r>
        <w:rPr>
          <w:rFonts w:hint="eastAsia" w:ascii="Times New Roman" w:hAnsi="Times New Roman" w:eastAsia="仿宋_GB2312"/>
          <w:sz w:val="32"/>
          <w:szCs w:val="32"/>
        </w:rPr>
        <w:t>绩效</w:t>
      </w:r>
      <w:r>
        <w:rPr>
          <w:rFonts w:ascii="Times New Roman" w:hAnsi="Times New Roman" w:eastAsia="仿宋_GB2312"/>
          <w:sz w:val="32"/>
          <w:szCs w:val="32"/>
        </w:rPr>
        <w:t>评价工作。</w:t>
      </w:r>
    </w:p>
    <w:p w14:paraId="402F8863">
      <w:pPr>
        <w:widowControl/>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九、部门整体支出绩效自评结果拟应用和公开情况</w:t>
      </w:r>
    </w:p>
    <w:p w14:paraId="23CDD56E">
      <w:pPr>
        <w:widowControl/>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其他需要说明的情况</w:t>
      </w:r>
    </w:p>
    <w:p w14:paraId="5B58C642">
      <w:pPr>
        <w:widowControl/>
        <w:spacing w:line="640" w:lineRule="exact"/>
        <w:ind w:firstLine="640" w:firstLineChars="200"/>
        <w:rPr>
          <w:rFonts w:ascii="Times New Roman" w:hAnsi="Times New Roman" w:eastAsia="仿宋_GB2312"/>
          <w:sz w:val="32"/>
          <w:szCs w:val="32"/>
        </w:rPr>
      </w:pPr>
    </w:p>
    <w:p w14:paraId="5F755A7E">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14:paraId="7C286E26">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1.部门整体支出绩效评价基础数据表</w:t>
      </w:r>
    </w:p>
    <w:p w14:paraId="5A9E951E">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2.部门整体支出绩效自评表</w:t>
      </w:r>
    </w:p>
    <w:p w14:paraId="34C43A3F">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3.项目支出绩效自评表（一个一级项目支出一张表）</w:t>
      </w:r>
    </w:p>
    <w:p w14:paraId="5F6FD226">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4.政府性基金预算支出情况表</w:t>
      </w:r>
    </w:p>
    <w:p w14:paraId="15BED832">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5.国有资本经营预算支出情况表</w:t>
      </w:r>
    </w:p>
    <w:p w14:paraId="7DC2F977">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6.社会保险基金预算支出情况表</w:t>
      </w:r>
    </w:p>
    <w:p w14:paraId="3D13B459">
      <w:pPr>
        <w:rPr>
          <w:rFonts w:hint="eastAsia" w:eastAsia="宋体"/>
          <w:lang w:eastAsia="zh-CN"/>
        </w:rPr>
      </w:pPr>
      <w:bookmarkStart w:id="0" w:name="_GoBack"/>
      <w:r>
        <w:rPr>
          <w:rFonts w:hint="eastAsia" w:eastAsia="宋体"/>
          <w:lang w:eastAsia="zh-CN"/>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Word.Document.8" ShapeID="_x0000_i1025" DrawAspect="Icon" ObjectID="_1468075725" r:id="rId4">
            <o:LockedField>false</o:LockedField>
          </o:OLEObject>
        </w:object>
      </w:r>
      <w:bookmarkEnd w:id="0"/>
      <w:r>
        <w:rPr>
          <w:rFonts w:hint="eastAsia" w:eastAsia="宋体"/>
          <w:lang w:eastAsia="zh-CN"/>
        </w:rPr>
        <w:object>
          <v:shape id="_x0000_i1026" o:spt="75" type="#_x0000_t75" style="height:66pt;width:72.75pt;" o:ole="t" filled="f" o:preferrelative="t" stroked="f" coordsize="21600,21600">
            <v:path/>
            <v:fill on="f" focussize="0,0"/>
            <v:stroke on="f"/>
            <v:imagedata r:id="rId7" o:title=""/>
            <o:lock v:ext="edit" aspectratio="t"/>
            <w10:wrap type="none"/>
            <w10:anchorlock/>
          </v:shape>
          <o:OLEObject Type="Embed" ProgID="Word.Document.12" ShapeID="_x0000_i1026" DrawAspect="Icon" ObjectID="_1468075726" r:id="rId6">
            <o:LockedField>false</o:LockedField>
          </o:OLEObject>
        </w:object>
      </w:r>
    </w:p>
    <w:sectPr>
      <w:pgSz w:w="11906" w:h="16838"/>
      <w:pgMar w:top="1440" w:right="19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CB4173"/>
    <w:multiLevelType w:val="singleLevel"/>
    <w:tmpl w:val="FECB4173"/>
    <w:lvl w:ilvl="0" w:tentative="0">
      <w:start w:val="3"/>
      <w:numFmt w:val="chineseCounting"/>
      <w:suff w:val="nothing"/>
      <w:lvlText w:val="%1、"/>
      <w:lvlJc w:val="left"/>
      <w:rPr>
        <w:rFonts w:hint="eastAsia"/>
      </w:rPr>
    </w:lvl>
  </w:abstractNum>
  <w:abstractNum w:abstractNumId="1">
    <w:nsid w:val="55D8D43D"/>
    <w:multiLevelType w:val="singleLevel"/>
    <w:tmpl w:val="55D8D43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M0OGI2ZmNlODc1OWFkMDY5ZTYwNDcyZmM0YmI2NTYifQ=="/>
  </w:docVars>
  <w:rsids>
    <w:rsidRoot w:val="053C5005"/>
    <w:rsid w:val="00120DF9"/>
    <w:rsid w:val="001700B9"/>
    <w:rsid w:val="001B4BB6"/>
    <w:rsid w:val="00290D32"/>
    <w:rsid w:val="00392A09"/>
    <w:rsid w:val="003B7A83"/>
    <w:rsid w:val="003F7B34"/>
    <w:rsid w:val="00455517"/>
    <w:rsid w:val="00482CEC"/>
    <w:rsid w:val="00A605C1"/>
    <w:rsid w:val="00E0659F"/>
    <w:rsid w:val="00E57E91"/>
    <w:rsid w:val="053C5005"/>
    <w:rsid w:val="111F5376"/>
    <w:rsid w:val="17F95092"/>
    <w:rsid w:val="19F02EFF"/>
    <w:rsid w:val="30C8235E"/>
    <w:rsid w:val="41970A1B"/>
    <w:rsid w:val="44E01109"/>
    <w:rsid w:val="478809C5"/>
    <w:rsid w:val="49852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9"/>
    <w:qFormat/>
    <w:uiPriority w:val="99"/>
    <w:pPr>
      <w:snapToGrid w:val="0"/>
      <w:jc w:val="left"/>
    </w:pPr>
    <w:rPr>
      <w:rFonts w:asciiTheme="minorHAnsi" w:hAnsiTheme="minorHAnsi" w:eastAsiaTheme="minorEastAsia" w:cstheme="minorBidi"/>
      <w:kern w:val="2"/>
      <w:sz w:val="18"/>
      <w:szCs w:val="18"/>
    </w:rPr>
  </w:style>
  <w:style w:type="paragraph" w:styleId="8">
    <w:name w:val="List Paragraph"/>
    <w:basedOn w:val="1"/>
    <w:qFormat/>
    <w:uiPriority w:val="99"/>
    <w:pPr>
      <w:ind w:firstLine="420" w:firstLineChars="200"/>
    </w:pPr>
    <w:rPr>
      <w:rFonts w:ascii="Calibri" w:hAnsi="Calibri"/>
      <w:szCs w:val="22"/>
    </w:rPr>
  </w:style>
  <w:style w:type="character" w:customStyle="1" w:styleId="9">
    <w:name w:val="脚注文本 Char"/>
    <w:basedOn w:val="7"/>
    <w:link w:val="5"/>
    <w:uiPriority w:val="99"/>
    <w:rPr>
      <w:kern w:val="2"/>
      <w:sz w:val="18"/>
      <w:szCs w:val="18"/>
    </w:rPr>
  </w:style>
  <w:style w:type="paragraph" w:customStyle="1" w:styleId="10">
    <w:name w:val="BodyText1I2"/>
    <w:basedOn w:val="1"/>
    <w:qFormat/>
    <w:uiPriority w:val="0"/>
    <w:pPr>
      <w:spacing w:after="120"/>
      <w:ind w:left="420" w:leftChars="200" w:firstLine="420" w:firstLineChars="200"/>
      <w:textAlignment w:val="baseline"/>
    </w:pPr>
    <w:rPr>
      <w:rFonts w:ascii="Times New Roman" w:hAnsi="Times New Roman"/>
      <w:kern w:val="2"/>
      <w:sz w:val="21"/>
    </w:rPr>
  </w:style>
  <w:style w:type="character" w:customStyle="1" w:styleId="11">
    <w:name w:val="页眉 Char"/>
    <w:basedOn w:val="7"/>
    <w:link w:val="4"/>
    <w:uiPriority w:val="0"/>
    <w:rPr>
      <w:rFonts w:ascii="仿宋" w:hAnsi="仿宋" w:eastAsia="宋体" w:cs="Times New Roman"/>
      <w:sz w:val="18"/>
      <w:szCs w:val="18"/>
    </w:rPr>
  </w:style>
  <w:style w:type="character" w:customStyle="1" w:styleId="12">
    <w:name w:val="页脚 Char"/>
    <w:basedOn w:val="7"/>
    <w:link w:val="3"/>
    <w:uiPriority w:val="0"/>
    <w:rPr>
      <w:rFonts w:ascii="仿宋" w:hAnsi="仿宋"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2992</Words>
  <Characters>3136</Characters>
  <Lines>22</Lines>
  <Paragraphs>6</Paragraphs>
  <TotalTime>25</TotalTime>
  <ScaleCrop>false</ScaleCrop>
  <LinksUpToDate>false</LinksUpToDate>
  <CharactersWithSpaces>3140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2023-07-13T10:46:00Z</dcterms:created>
  <dc:creator>贵琳</dc:creator>
  <cp:lastModifiedBy>向群</cp:lastModifiedBy>
  <dcterms:modified xsi:type="dcterms:W3CDTF">2024-07-25T05:43:24Z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A49162B583EF4C9C82131FD3F7B8660E</vt:lpwstr>
  </property>
</Properties>
</file>